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3A75" w14:textId="77777777" w:rsidR="00C66E6F" w:rsidRDefault="00C66E6F" w:rsidP="000D1985">
      <w:pPr>
        <w:pStyle w:val="Encabezado"/>
        <w:jc w:val="center"/>
        <w:rPr>
          <w:b/>
        </w:rPr>
      </w:pPr>
      <w:bookmarkStart w:id="0" w:name="_GoBack"/>
      <w:bookmarkEnd w:id="0"/>
      <w:r>
        <w:rPr>
          <w:b/>
        </w:rPr>
        <w:t>-</w:t>
      </w:r>
    </w:p>
    <w:p w14:paraId="5CFEAA85" w14:textId="040D527B"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F169BF">
        <w:rPr>
          <w:b/>
        </w:rPr>
        <w:fldChar w:fldCharType="begin"/>
      </w:r>
      <w:r w:rsidR="00F169BF">
        <w:rPr>
          <w:b/>
        </w:rPr>
        <w:instrText xml:space="preserve"> INCLUDEPICTURE  "http://entrecomillas.com.co/wp-content/uploads/2014/09/logo_20congreso_1.png" \* MERGEFORMATINET </w:instrText>
      </w:r>
      <w:r w:rsidR="00F169BF">
        <w:rPr>
          <w:b/>
        </w:rPr>
        <w:fldChar w:fldCharType="separate"/>
      </w:r>
      <w:r w:rsidR="00A93F02">
        <w:rPr>
          <w:b/>
        </w:rPr>
        <w:fldChar w:fldCharType="begin"/>
      </w:r>
      <w:r w:rsidR="00A93F02">
        <w:rPr>
          <w:b/>
        </w:rPr>
        <w:instrText xml:space="preserve"> INCLUDEPICTURE  "http://entrecomillas.com.co/wp-content/uploads/2014/09/logo_20congreso_1.png" \* MERGEFORMATINET </w:instrText>
      </w:r>
      <w:r w:rsidR="00A93F02">
        <w:rPr>
          <w:b/>
        </w:rPr>
        <w:fldChar w:fldCharType="separate"/>
      </w:r>
      <w:r w:rsidR="00B40728">
        <w:rPr>
          <w:b/>
        </w:rPr>
        <w:fldChar w:fldCharType="begin"/>
      </w:r>
      <w:r w:rsidR="00B40728">
        <w:rPr>
          <w:b/>
        </w:rPr>
        <w:instrText xml:space="preserve"> </w:instrText>
      </w:r>
      <w:r w:rsidR="00B40728">
        <w:rPr>
          <w:b/>
        </w:rPr>
        <w:instrText>INCLUDEPICTURE  "http://entrecomillas.com.co/wp-con</w:instrText>
      </w:r>
      <w:r w:rsidR="00B40728">
        <w:rPr>
          <w:b/>
        </w:rPr>
        <w:instrText>tent/uploads/2014/09/logo_20congreso_1.png" \* MERGEFORMATINET</w:instrText>
      </w:r>
      <w:r w:rsidR="00B40728">
        <w:rPr>
          <w:b/>
        </w:rPr>
        <w:instrText xml:space="preserve"> </w:instrText>
      </w:r>
      <w:r w:rsidR="00B40728">
        <w:rPr>
          <w:b/>
        </w:rPr>
        <w:fldChar w:fldCharType="separate"/>
      </w:r>
      <w:r w:rsidR="00B40728">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B40728">
        <w:rPr>
          <w:b/>
        </w:rPr>
        <w:fldChar w:fldCharType="end"/>
      </w:r>
      <w:r w:rsidR="00A93F02">
        <w:rPr>
          <w:b/>
        </w:rPr>
        <w:fldChar w:fldCharType="end"/>
      </w:r>
      <w:r w:rsidR="00F169BF">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b/>
          <w:color w:val="000000"/>
          <w:sz w:val="28"/>
          <w:szCs w:val="28"/>
        </w:rPr>
      </w:pPr>
    </w:p>
    <w:p w14:paraId="57931EC3" w14:textId="461EF750" w:rsidR="009D381B" w:rsidRPr="009F2589" w:rsidRDefault="00163C52" w:rsidP="009F2589">
      <w:pPr>
        <w:spacing w:line="276" w:lineRule="auto"/>
        <w:jc w:val="center"/>
        <w:rPr>
          <w:rFonts w:ascii="Arial" w:hAnsi="Arial" w:cs="Arial"/>
          <w:b/>
          <w:bCs/>
          <w:sz w:val="24"/>
          <w:szCs w:val="24"/>
          <w:shd w:val="clear" w:color="auto" w:fill="FFFFFF"/>
        </w:rPr>
      </w:pPr>
      <w:r w:rsidRPr="009F2589">
        <w:rPr>
          <w:rFonts w:ascii="Arial" w:hAnsi="Arial" w:cs="Arial"/>
          <w:b/>
          <w:color w:val="000000"/>
          <w:sz w:val="24"/>
          <w:szCs w:val="24"/>
        </w:rPr>
        <w:t xml:space="preserve">TEXTO APROBADO EN LA COMISIÓN PRIMERA DE LA HONORABLE CÁMARA DE REPRESENTANTES EN PRIMER DEBATE AL PROYECTO DE LEY No. </w:t>
      </w:r>
      <w:bookmarkStart w:id="1" w:name="_Hlk113348451"/>
      <w:r w:rsidR="009D381B" w:rsidRPr="009F2589">
        <w:rPr>
          <w:rFonts w:ascii="Arial" w:hAnsi="Arial" w:cs="Arial"/>
          <w:b/>
          <w:bCs/>
          <w:sz w:val="24"/>
          <w:szCs w:val="24"/>
          <w:shd w:val="clear" w:color="auto" w:fill="FFFFFF"/>
        </w:rPr>
        <w:t>050 DE 2022 CÁMARA</w:t>
      </w:r>
    </w:p>
    <w:p w14:paraId="42100AD0" w14:textId="7CDD053D" w:rsidR="009D381B" w:rsidRPr="009F2589" w:rsidRDefault="009F2589" w:rsidP="009D381B">
      <w:pPr>
        <w:suppressAutoHyphens/>
        <w:adjustRightInd w:val="0"/>
        <w:contextualSpacing/>
        <w:jc w:val="center"/>
        <w:textAlignment w:val="center"/>
        <w:rPr>
          <w:rFonts w:ascii="Arial" w:hAnsi="Arial" w:cs="Arial"/>
          <w:b/>
          <w:i/>
          <w:sz w:val="24"/>
          <w:szCs w:val="24"/>
        </w:rPr>
      </w:pPr>
      <w:r w:rsidRPr="009F2589">
        <w:rPr>
          <w:rFonts w:ascii="Arial" w:hAnsi="Arial" w:cs="Arial"/>
          <w:i/>
          <w:iCs/>
          <w:sz w:val="24"/>
          <w:szCs w:val="24"/>
        </w:rPr>
        <w:t>“</w:t>
      </w:r>
      <w:r w:rsidRPr="009F2589">
        <w:rPr>
          <w:rFonts w:ascii="Arial" w:hAnsi="Arial" w:cs="Arial"/>
          <w:b/>
          <w:i/>
          <w:sz w:val="24"/>
          <w:szCs w:val="24"/>
        </w:rPr>
        <w:t>POR MEDIO DE LA CUAL SE ELIMINAN BENEFICIOS Y SUBROGADOS PENALES PARA QUIENES SEAN CONDENADOS O ESTÉN CUMPLIENDO DETENCIÓN PREVENTIVA POR EL DELITO DE FEMINICIDIO”.</w:t>
      </w:r>
    </w:p>
    <w:bookmarkEnd w:id="1"/>
    <w:p w14:paraId="7C7B9D95" w14:textId="77777777" w:rsidR="009D381B" w:rsidRPr="009F2589" w:rsidRDefault="009D381B" w:rsidP="009D381B">
      <w:pPr>
        <w:adjustRightInd w:val="0"/>
        <w:contextualSpacing/>
        <w:jc w:val="center"/>
        <w:textAlignment w:val="center"/>
        <w:rPr>
          <w:rFonts w:ascii="Arial" w:hAnsi="Arial" w:cs="Arial"/>
          <w:spacing w:val="-2"/>
          <w:sz w:val="24"/>
          <w:szCs w:val="24"/>
        </w:rPr>
      </w:pPr>
    </w:p>
    <w:p w14:paraId="2D595D08" w14:textId="565E5130" w:rsidR="009D381B" w:rsidRPr="009F2589" w:rsidRDefault="009F2589" w:rsidP="009D381B">
      <w:pPr>
        <w:adjustRightInd w:val="0"/>
        <w:contextualSpacing/>
        <w:jc w:val="center"/>
        <w:textAlignment w:val="center"/>
        <w:rPr>
          <w:rFonts w:ascii="Arial" w:hAnsi="Arial" w:cs="Arial"/>
          <w:b/>
          <w:bCs/>
          <w:spacing w:val="-2"/>
          <w:sz w:val="24"/>
          <w:szCs w:val="24"/>
        </w:rPr>
      </w:pPr>
      <w:r w:rsidRPr="009F2589">
        <w:rPr>
          <w:rFonts w:ascii="Arial" w:hAnsi="Arial" w:cs="Arial"/>
          <w:b/>
          <w:bCs/>
          <w:spacing w:val="-2"/>
          <w:sz w:val="24"/>
          <w:szCs w:val="24"/>
        </w:rPr>
        <w:t>EL CONGRESO DE COLOMBIA</w:t>
      </w:r>
    </w:p>
    <w:p w14:paraId="5852D824" w14:textId="77777777" w:rsidR="009D381B" w:rsidRPr="009F2589" w:rsidRDefault="009D381B" w:rsidP="009D381B">
      <w:pPr>
        <w:adjustRightInd w:val="0"/>
        <w:contextualSpacing/>
        <w:jc w:val="center"/>
        <w:textAlignment w:val="center"/>
        <w:rPr>
          <w:rFonts w:ascii="Arial" w:hAnsi="Arial" w:cs="Arial"/>
          <w:b/>
          <w:bCs/>
          <w:spacing w:val="-2"/>
          <w:sz w:val="24"/>
          <w:szCs w:val="24"/>
        </w:rPr>
      </w:pPr>
    </w:p>
    <w:p w14:paraId="7D3ACDEB" w14:textId="77777777" w:rsidR="009D381B" w:rsidRPr="009F2589" w:rsidRDefault="009D381B" w:rsidP="009D381B">
      <w:pPr>
        <w:adjustRightInd w:val="0"/>
        <w:contextualSpacing/>
        <w:jc w:val="center"/>
        <w:textAlignment w:val="center"/>
        <w:rPr>
          <w:rFonts w:ascii="Arial" w:hAnsi="Arial" w:cs="Arial"/>
          <w:b/>
          <w:bCs/>
          <w:spacing w:val="-2"/>
          <w:sz w:val="24"/>
          <w:szCs w:val="24"/>
        </w:rPr>
      </w:pPr>
      <w:r w:rsidRPr="009F2589">
        <w:rPr>
          <w:rFonts w:ascii="Arial" w:hAnsi="Arial" w:cs="Arial"/>
          <w:b/>
          <w:bCs/>
          <w:spacing w:val="-2"/>
          <w:sz w:val="24"/>
          <w:szCs w:val="24"/>
        </w:rPr>
        <w:t>DECRETA:</w:t>
      </w:r>
    </w:p>
    <w:p w14:paraId="53FA9F57" w14:textId="77777777" w:rsidR="009D381B" w:rsidRPr="009F2589" w:rsidRDefault="009D381B" w:rsidP="009D381B">
      <w:pPr>
        <w:adjustRightInd w:val="0"/>
        <w:contextualSpacing/>
        <w:jc w:val="both"/>
        <w:textAlignment w:val="center"/>
        <w:rPr>
          <w:rFonts w:ascii="Arial" w:eastAsia="Times New Roman" w:hAnsi="Arial" w:cs="Arial"/>
          <w:sz w:val="24"/>
          <w:szCs w:val="24"/>
        </w:rPr>
      </w:pPr>
    </w:p>
    <w:p w14:paraId="3EB3709A" w14:textId="77777777" w:rsidR="007E392A" w:rsidRDefault="007E392A" w:rsidP="009D381B">
      <w:pPr>
        <w:contextualSpacing/>
        <w:jc w:val="both"/>
        <w:rPr>
          <w:rFonts w:ascii="Arial" w:hAnsi="Arial" w:cs="Arial"/>
          <w:b/>
          <w:bCs/>
          <w:sz w:val="24"/>
          <w:szCs w:val="24"/>
        </w:rPr>
      </w:pPr>
    </w:p>
    <w:p w14:paraId="50BFA6E5" w14:textId="77777777" w:rsidR="009D381B" w:rsidRPr="009F2589" w:rsidRDefault="009D381B" w:rsidP="009D381B">
      <w:pPr>
        <w:contextualSpacing/>
        <w:jc w:val="both"/>
        <w:rPr>
          <w:rFonts w:ascii="Arial" w:hAnsi="Arial" w:cs="Arial"/>
          <w:i/>
          <w:iCs/>
          <w:sz w:val="24"/>
          <w:szCs w:val="24"/>
        </w:rPr>
      </w:pPr>
      <w:r w:rsidRPr="009F2589">
        <w:rPr>
          <w:rFonts w:ascii="Arial" w:hAnsi="Arial" w:cs="Arial"/>
          <w:b/>
          <w:bCs/>
          <w:sz w:val="24"/>
          <w:szCs w:val="24"/>
        </w:rPr>
        <w:t xml:space="preserve">Artículo </w:t>
      </w:r>
      <w:r w:rsidRPr="009F2589">
        <w:rPr>
          <w:rFonts w:ascii="Arial" w:hAnsi="Arial" w:cs="Arial"/>
          <w:b/>
          <w:bCs/>
          <w:caps/>
          <w:sz w:val="24"/>
          <w:szCs w:val="24"/>
        </w:rPr>
        <w:t>1</w:t>
      </w:r>
      <w:r w:rsidRPr="009F2589">
        <w:rPr>
          <w:rFonts w:ascii="Arial" w:hAnsi="Arial" w:cs="Arial"/>
          <w:caps/>
          <w:sz w:val="24"/>
          <w:szCs w:val="24"/>
          <w:rtl/>
          <w:lang w:bidi="ar-YE"/>
        </w:rPr>
        <w:t>°</w:t>
      </w:r>
      <w:r w:rsidRPr="009F2589">
        <w:rPr>
          <w:rFonts w:ascii="Arial" w:hAnsi="Arial" w:cs="Arial"/>
          <w:b/>
          <w:bCs/>
          <w:caps/>
          <w:sz w:val="24"/>
          <w:szCs w:val="24"/>
        </w:rPr>
        <w:t>.</w:t>
      </w:r>
      <w:r w:rsidRPr="009F2589">
        <w:rPr>
          <w:rFonts w:ascii="Arial" w:hAnsi="Arial" w:cs="Arial"/>
          <w:caps/>
          <w:sz w:val="24"/>
          <w:szCs w:val="24"/>
        </w:rPr>
        <w:t xml:space="preserve"> </w:t>
      </w:r>
      <w:bookmarkStart w:id="2" w:name="_Hlk66713824"/>
      <w:r w:rsidRPr="009F2589">
        <w:rPr>
          <w:rFonts w:ascii="Arial" w:hAnsi="Arial" w:cs="Arial"/>
          <w:i/>
          <w:iCs/>
          <w:sz w:val="24"/>
          <w:szCs w:val="24"/>
        </w:rPr>
        <w:t>Modifíquese el segundo inciso del artículo 68-A de la Ley 599 de 2000, el cual quedará así:</w:t>
      </w:r>
      <w:bookmarkEnd w:id="2"/>
    </w:p>
    <w:p w14:paraId="6372744F" w14:textId="77777777" w:rsidR="009D381B" w:rsidRPr="009F2589" w:rsidRDefault="009D381B" w:rsidP="009D381B">
      <w:pPr>
        <w:contextualSpacing/>
        <w:jc w:val="both"/>
        <w:rPr>
          <w:rFonts w:ascii="Arial" w:hAnsi="Arial" w:cs="Arial"/>
          <w:sz w:val="24"/>
          <w:szCs w:val="24"/>
        </w:rPr>
      </w:pPr>
    </w:p>
    <w:p w14:paraId="38E4E1BA" w14:textId="15AF7FD7" w:rsidR="009D381B" w:rsidRPr="009F2589" w:rsidRDefault="009D381B" w:rsidP="009D381B">
      <w:pPr>
        <w:contextualSpacing/>
        <w:jc w:val="both"/>
        <w:rPr>
          <w:rFonts w:ascii="Arial" w:hAnsi="Arial" w:cs="Arial"/>
          <w:sz w:val="24"/>
          <w:szCs w:val="24"/>
        </w:rPr>
      </w:pPr>
      <w:r w:rsidRPr="009F2589">
        <w:rPr>
          <w:rFonts w:ascii="Arial" w:hAnsi="Arial" w:cs="Arial"/>
          <w:b/>
          <w:bCs/>
          <w:sz w:val="24"/>
          <w:szCs w:val="24"/>
        </w:rPr>
        <w:t>ARTÍCULO 68A. EXCLUSIÓN DE LOS BENEFICIOS Y SUBROGADOS PENALES.</w:t>
      </w:r>
      <w:r w:rsidRPr="009F2589">
        <w:rPr>
          <w:rFonts w:ascii="Arial" w:hAnsi="Arial" w:cs="Arial"/>
          <w:sz w:val="24"/>
          <w:szCs w:val="24"/>
        </w:rPr>
        <w:t xml:space="preserve"> (Introducido por el artículo 32 de la Ley 1142 de 2007). 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p>
    <w:p w14:paraId="3FB46D0B" w14:textId="77777777" w:rsidR="009D381B" w:rsidRPr="009F2589" w:rsidRDefault="009D381B" w:rsidP="009D381B">
      <w:pPr>
        <w:contextualSpacing/>
        <w:jc w:val="both"/>
        <w:rPr>
          <w:rFonts w:ascii="Arial" w:hAnsi="Arial" w:cs="Arial"/>
          <w:sz w:val="24"/>
          <w:szCs w:val="24"/>
        </w:rPr>
      </w:pPr>
    </w:p>
    <w:p w14:paraId="07C81BFC" w14:textId="01A554D0" w:rsidR="009D381B" w:rsidRPr="009F2589" w:rsidRDefault="009D381B" w:rsidP="009D381B">
      <w:pPr>
        <w:contextualSpacing/>
        <w:jc w:val="both"/>
        <w:rPr>
          <w:rFonts w:ascii="Arial" w:hAnsi="Arial" w:cs="Arial"/>
          <w:b/>
          <w:sz w:val="24"/>
          <w:szCs w:val="24"/>
          <w:u w:val="single"/>
        </w:rPr>
      </w:pPr>
      <w:r w:rsidRPr="009F2589">
        <w:rPr>
          <w:rFonts w:ascii="Arial" w:hAnsi="Arial" w:cs="Arial"/>
          <w:sz w:val="24"/>
          <w:szCs w:val="24"/>
        </w:rPr>
        <w:t xml:space="preserve">Tampoco quienes hayan sido condenados por delitos dolosos contra la Administración Pública; delitos contra las personas y bienes protegidos por el Derecho Internacional Humanitario; delitos contra la libertad, integridad y formación sexual; estafa y abuso de confianza que recaiga sobre los bienes del Estado; captación masiva y habitual de dineros; utilización indebida de información privilegiada; concierto para delinquir agravado; lavado de activos; soborno transnacional; violencia intrafamiliar; hurto calificado; abigeato enunciado en el inciso tercero del artículo 243; extorsión; homicidio agravado contemplado en el numeral 6 del artículo 104; lesiones causadas con agentes químicos, ácidos y/o sustancias similares;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w:t>
      </w:r>
      <w:proofErr w:type="spellStart"/>
      <w:r w:rsidRPr="009F2589">
        <w:rPr>
          <w:rFonts w:ascii="Arial" w:hAnsi="Arial" w:cs="Arial"/>
          <w:sz w:val="24"/>
          <w:szCs w:val="24"/>
        </w:rPr>
        <w:t>testaferrato</w:t>
      </w:r>
      <w:proofErr w:type="spellEnd"/>
      <w:r w:rsidRPr="009F2589">
        <w:rPr>
          <w:rFonts w:ascii="Arial" w:hAnsi="Arial" w:cs="Arial"/>
          <w:sz w:val="24"/>
          <w:szCs w:val="24"/>
        </w:rPr>
        <w:t xml:space="preserve">; </w:t>
      </w:r>
      <w:r w:rsidRPr="009F2589">
        <w:rPr>
          <w:rFonts w:ascii="Arial" w:hAnsi="Arial" w:cs="Arial"/>
          <w:sz w:val="24"/>
          <w:szCs w:val="24"/>
        </w:rPr>
        <w:lastRenderedPageBreak/>
        <w:t>enriquecimiento ilícito de particulares; apoderamiento de hidrocarburos, sus derivados, biocombustibles o mezclas que los contengan; receptación; instigación a delinquir; empleo o lanzamiento de sustancias u objeto peligrosos; fabricación, importación, tráfico, posesión o uso de armas químicas, biológicas y nucleares; delitos relacionados 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transferencia de minas antipersonales</w:t>
      </w:r>
      <w:r w:rsidRPr="009F2589">
        <w:rPr>
          <w:rFonts w:ascii="Arial" w:hAnsi="Arial" w:cs="Arial"/>
          <w:b/>
          <w:sz w:val="24"/>
          <w:szCs w:val="24"/>
        </w:rPr>
        <w:t xml:space="preserve"> </w:t>
      </w:r>
      <w:r w:rsidRPr="007E392A">
        <w:rPr>
          <w:rFonts w:ascii="Arial" w:hAnsi="Arial" w:cs="Arial"/>
          <w:sz w:val="24"/>
          <w:szCs w:val="24"/>
        </w:rPr>
        <w:t xml:space="preserve">y </w:t>
      </w:r>
      <w:proofErr w:type="spellStart"/>
      <w:r w:rsidR="007E392A">
        <w:rPr>
          <w:rFonts w:ascii="Arial" w:hAnsi="Arial" w:cs="Arial"/>
          <w:iCs/>
          <w:sz w:val="24"/>
          <w:szCs w:val="24"/>
        </w:rPr>
        <w:t>feminicidio</w:t>
      </w:r>
      <w:proofErr w:type="spellEnd"/>
      <w:r w:rsidR="007E392A">
        <w:rPr>
          <w:rFonts w:ascii="Arial" w:hAnsi="Arial" w:cs="Arial"/>
          <w:iCs/>
          <w:sz w:val="24"/>
          <w:szCs w:val="24"/>
        </w:rPr>
        <w:t>.</w:t>
      </w:r>
    </w:p>
    <w:p w14:paraId="22E655FC" w14:textId="77777777" w:rsidR="009D381B" w:rsidRPr="009F2589" w:rsidRDefault="009D381B" w:rsidP="009D381B">
      <w:pPr>
        <w:contextualSpacing/>
        <w:jc w:val="both"/>
        <w:rPr>
          <w:rFonts w:ascii="Arial" w:hAnsi="Arial" w:cs="Arial"/>
          <w:b/>
          <w:sz w:val="24"/>
          <w:szCs w:val="24"/>
        </w:rPr>
      </w:pPr>
    </w:p>
    <w:p w14:paraId="797D6A4D" w14:textId="77777777" w:rsidR="009D381B" w:rsidRDefault="009D381B" w:rsidP="009D381B">
      <w:pPr>
        <w:suppressAutoHyphens/>
        <w:adjustRightInd w:val="0"/>
        <w:contextualSpacing/>
        <w:jc w:val="both"/>
        <w:textAlignment w:val="center"/>
        <w:rPr>
          <w:rFonts w:ascii="Arial" w:hAnsi="Arial" w:cs="Arial"/>
          <w:i/>
          <w:iCs/>
          <w:sz w:val="24"/>
          <w:szCs w:val="24"/>
        </w:rPr>
      </w:pPr>
      <w:r w:rsidRPr="009F2589">
        <w:rPr>
          <w:rFonts w:ascii="Arial" w:hAnsi="Arial" w:cs="Arial"/>
          <w:b/>
          <w:bCs/>
          <w:sz w:val="24"/>
          <w:szCs w:val="24"/>
        </w:rPr>
        <w:t>Artículo 2</w:t>
      </w:r>
      <w:r w:rsidRPr="009F2589">
        <w:rPr>
          <w:rFonts w:ascii="Arial" w:hAnsi="Arial" w:cs="Arial"/>
          <w:b/>
          <w:bCs/>
          <w:caps/>
          <w:sz w:val="24"/>
          <w:szCs w:val="24"/>
        </w:rPr>
        <w:t xml:space="preserve">°. </w:t>
      </w:r>
      <w:r w:rsidRPr="009F2589">
        <w:rPr>
          <w:rFonts w:ascii="Arial" w:hAnsi="Arial" w:cs="Arial"/>
          <w:i/>
          <w:iCs/>
          <w:sz w:val="24"/>
          <w:szCs w:val="24"/>
        </w:rPr>
        <w:t xml:space="preserve">Modifíquese el parágrafo del artículo 314 de la Ley 906 de 2004, el cual quedará así: </w:t>
      </w:r>
    </w:p>
    <w:p w14:paraId="7B5D8F93" w14:textId="77777777" w:rsidR="009F2589" w:rsidRPr="009F2589" w:rsidRDefault="009F2589" w:rsidP="009D381B">
      <w:pPr>
        <w:suppressAutoHyphens/>
        <w:adjustRightInd w:val="0"/>
        <w:contextualSpacing/>
        <w:jc w:val="both"/>
        <w:textAlignment w:val="center"/>
        <w:rPr>
          <w:rFonts w:ascii="Arial" w:hAnsi="Arial" w:cs="Arial"/>
          <w:b/>
          <w:bCs/>
          <w:caps/>
          <w:sz w:val="24"/>
          <w:szCs w:val="24"/>
        </w:rPr>
      </w:pPr>
    </w:p>
    <w:p w14:paraId="5B64104B" w14:textId="77777777" w:rsidR="009D381B" w:rsidRPr="009F2589" w:rsidRDefault="009D381B" w:rsidP="009D381B">
      <w:pPr>
        <w:suppressAutoHyphens/>
        <w:adjustRightInd w:val="0"/>
        <w:contextualSpacing/>
        <w:jc w:val="both"/>
        <w:textAlignment w:val="center"/>
        <w:rPr>
          <w:rFonts w:ascii="Arial" w:hAnsi="Arial" w:cs="Arial"/>
          <w:sz w:val="24"/>
          <w:szCs w:val="24"/>
        </w:rPr>
      </w:pPr>
      <w:r w:rsidRPr="009F2589">
        <w:rPr>
          <w:rFonts w:ascii="Arial" w:hAnsi="Arial" w:cs="Arial"/>
          <w:b/>
          <w:bCs/>
          <w:caps/>
          <w:sz w:val="24"/>
          <w:szCs w:val="24"/>
        </w:rPr>
        <w:t xml:space="preserve">Artículo  314. </w:t>
      </w:r>
      <w:r w:rsidRPr="009F2589">
        <w:rPr>
          <w:rFonts w:ascii="Arial" w:hAnsi="Arial" w:cs="Arial"/>
          <w:b/>
          <w:bCs/>
          <w:sz w:val="24"/>
          <w:szCs w:val="24"/>
        </w:rPr>
        <w:t>SUSTITUCIÓN DE LA DETENCIÓN PREVENTIVA</w:t>
      </w:r>
      <w:r w:rsidRPr="009F2589">
        <w:rPr>
          <w:rFonts w:ascii="Arial" w:hAnsi="Arial" w:cs="Arial"/>
          <w:sz w:val="24"/>
          <w:szCs w:val="24"/>
        </w:rPr>
        <w:t>. &lt;Artículo modificado por el artículo 27 de la Ley 1142 de 2007&gt; La detención preventiva en establecimiento carcelario podrá sustituirse por la del lugar de la residencia en los siguientes eventos:</w:t>
      </w:r>
    </w:p>
    <w:p w14:paraId="28D2050F" w14:textId="77777777" w:rsidR="009D381B" w:rsidRPr="009F2589" w:rsidRDefault="009D381B" w:rsidP="009D381B">
      <w:pPr>
        <w:suppressAutoHyphens/>
        <w:adjustRightInd w:val="0"/>
        <w:contextualSpacing/>
        <w:jc w:val="both"/>
        <w:textAlignment w:val="center"/>
        <w:rPr>
          <w:rFonts w:ascii="Arial" w:hAnsi="Arial" w:cs="Arial"/>
          <w:sz w:val="24"/>
          <w:szCs w:val="24"/>
        </w:rPr>
      </w:pPr>
    </w:p>
    <w:p w14:paraId="1C18D4F0" w14:textId="77777777" w:rsidR="009D381B" w:rsidRPr="009F2589" w:rsidRDefault="009D381B" w:rsidP="009D381B">
      <w:pPr>
        <w:numPr>
          <w:ilvl w:val="0"/>
          <w:numId w:val="61"/>
        </w:numPr>
        <w:suppressAutoHyphens/>
        <w:adjustRightInd w:val="0"/>
        <w:contextualSpacing/>
        <w:jc w:val="both"/>
        <w:textAlignment w:val="center"/>
        <w:rPr>
          <w:rFonts w:ascii="Arial" w:hAnsi="Arial" w:cs="Arial"/>
          <w:sz w:val="24"/>
          <w:szCs w:val="24"/>
        </w:rPr>
      </w:pPr>
      <w:r w:rsidRPr="009F2589">
        <w:rPr>
          <w:rFonts w:ascii="Arial" w:hAnsi="Arial" w:cs="Arial"/>
          <w:sz w:val="24"/>
          <w:szCs w:val="24"/>
        </w:rPr>
        <w:t>Cuando para el cumplimiento de los fines previstos para la medida de aseguramiento sea suficiente la reclusión en el lugar de residencia, aspecto que será fundamentado por quien solicite la sustitución y decidido por el juez en la respectiva audiencia de imposición, en atención a la vida personal, laboral, familiar o social del imputado.</w:t>
      </w:r>
    </w:p>
    <w:p w14:paraId="7FADAF69" w14:textId="77777777" w:rsidR="009D381B" w:rsidRPr="009F2589" w:rsidRDefault="009D381B" w:rsidP="009D381B">
      <w:pPr>
        <w:numPr>
          <w:ilvl w:val="0"/>
          <w:numId w:val="61"/>
        </w:numPr>
        <w:suppressAutoHyphens/>
        <w:adjustRightInd w:val="0"/>
        <w:contextualSpacing/>
        <w:jc w:val="both"/>
        <w:textAlignment w:val="center"/>
        <w:rPr>
          <w:rFonts w:ascii="Arial" w:hAnsi="Arial" w:cs="Arial"/>
          <w:sz w:val="24"/>
          <w:szCs w:val="24"/>
        </w:rPr>
      </w:pPr>
      <w:r w:rsidRPr="009F2589">
        <w:rPr>
          <w:rFonts w:ascii="Arial" w:hAnsi="Arial" w:cs="Arial"/>
          <w:sz w:val="24"/>
          <w:szCs w:val="24"/>
        </w:rPr>
        <w:t>Cuando el imputado o acusado fuere mayor de sesenta y cinco (65) años, siempre que su personalidad, la naturaleza y modalidad del delito hagan aconsejable su reclusión en el lugar de residencia.</w:t>
      </w:r>
    </w:p>
    <w:p w14:paraId="452F4023" w14:textId="77777777" w:rsidR="009D381B" w:rsidRPr="009F2589" w:rsidRDefault="009D381B" w:rsidP="009D381B">
      <w:pPr>
        <w:numPr>
          <w:ilvl w:val="0"/>
          <w:numId w:val="61"/>
        </w:numPr>
        <w:suppressAutoHyphens/>
        <w:adjustRightInd w:val="0"/>
        <w:contextualSpacing/>
        <w:jc w:val="both"/>
        <w:textAlignment w:val="center"/>
        <w:rPr>
          <w:rFonts w:ascii="Arial" w:hAnsi="Arial" w:cs="Arial"/>
          <w:sz w:val="24"/>
          <w:szCs w:val="24"/>
        </w:rPr>
      </w:pPr>
      <w:r w:rsidRPr="009F2589">
        <w:rPr>
          <w:rFonts w:ascii="Arial" w:hAnsi="Arial" w:cs="Arial"/>
          <w:sz w:val="24"/>
          <w:szCs w:val="24"/>
        </w:rPr>
        <w:t xml:space="preserve">Cuando a la imputada o acusada le falten dos (2) meses o menos para el parto. Igual derecho tendrá durante los seis (6) meses siguientes a la fecha de nacimiento. </w:t>
      </w:r>
    </w:p>
    <w:p w14:paraId="40BC5542" w14:textId="77777777" w:rsidR="009D381B" w:rsidRPr="009F2589" w:rsidRDefault="009D381B" w:rsidP="009D381B">
      <w:pPr>
        <w:numPr>
          <w:ilvl w:val="0"/>
          <w:numId w:val="61"/>
        </w:numPr>
        <w:suppressAutoHyphens/>
        <w:adjustRightInd w:val="0"/>
        <w:contextualSpacing/>
        <w:jc w:val="both"/>
        <w:textAlignment w:val="center"/>
        <w:rPr>
          <w:rFonts w:ascii="Arial" w:hAnsi="Arial" w:cs="Arial"/>
          <w:sz w:val="24"/>
          <w:szCs w:val="24"/>
        </w:rPr>
      </w:pPr>
      <w:r w:rsidRPr="009F2589">
        <w:rPr>
          <w:rFonts w:ascii="Arial" w:hAnsi="Arial" w:cs="Arial"/>
          <w:sz w:val="24"/>
          <w:szCs w:val="24"/>
        </w:rPr>
        <w:t xml:space="preserve">Cuando el imputado o acusado estuviere en estado grave por enfermedad, previo dictamen de médicos oficiales. El juez determinará si el imputado o acusado deberá permanecer en su lugar de residencia, en clínica u hospital.  </w:t>
      </w:r>
    </w:p>
    <w:p w14:paraId="141F96F3" w14:textId="77777777" w:rsidR="009D381B" w:rsidRPr="009F2589" w:rsidRDefault="009D381B" w:rsidP="009D381B">
      <w:pPr>
        <w:numPr>
          <w:ilvl w:val="0"/>
          <w:numId w:val="61"/>
        </w:numPr>
        <w:suppressAutoHyphens/>
        <w:adjustRightInd w:val="0"/>
        <w:contextualSpacing/>
        <w:jc w:val="both"/>
        <w:textAlignment w:val="center"/>
        <w:rPr>
          <w:rFonts w:ascii="Arial" w:hAnsi="Arial" w:cs="Arial"/>
          <w:sz w:val="24"/>
          <w:szCs w:val="24"/>
        </w:rPr>
      </w:pPr>
      <w:r w:rsidRPr="009F2589">
        <w:rPr>
          <w:rFonts w:ascii="Arial" w:hAnsi="Arial" w:cs="Arial"/>
          <w:sz w:val="24"/>
          <w:szCs w:val="24"/>
        </w:rPr>
        <w:t>Cuando la imputada o acusada fuere madre cabeza de familia de hijo menor o que sufriere incapacidad permanente, siempre y cuando haya estado bajo su cuidado. En ausencia de ella, el padre que haga sus veces tendrá el mismo beneficio. La detención en el lugar de residencia comporta los permisos necesarios para los controles médicos de rigor, la ocurrencia del parto, y para trabajar en la hipótesis del numeral 5.</w:t>
      </w:r>
    </w:p>
    <w:p w14:paraId="1AEEB72E" w14:textId="77777777" w:rsidR="009D381B" w:rsidRPr="009F2589" w:rsidRDefault="009D381B" w:rsidP="009D381B">
      <w:pPr>
        <w:suppressAutoHyphens/>
        <w:adjustRightInd w:val="0"/>
        <w:contextualSpacing/>
        <w:jc w:val="both"/>
        <w:textAlignment w:val="center"/>
        <w:rPr>
          <w:rFonts w:ascii="Arial" w:hAnsi="Arial" w:cs="Arial"/>
          <w:sz w:val="24"/>
          <w:szCs w:val="24"/>
        </w:rPr>
      </w:pPr>
    </w:p>
    <w:p w14:paraId="52F61D73" w14:textId="08C80F69" w:rsidR="009D381B" w:rsidRPr="009F2589" w:rsidRDefault="009D381B" w:rsidP="009D381B">
      <w:pPr>
        <w:suppressAutoHyphens/>
        <w:adjustRightInd w:val="0"/>
        <w:contextualSpacing/>
        <w:jc w:val="both"/>
        <w:textAlignment w:val="center"/>
        <w:rPr>
          <w:rFonts w:ascii="Arial" w:hAnsi="Arial" w:cs="Arial"/>
          <w:sz w:val="24"/>
          <w:szCs w:val="24"/>
        </w:rPr>
      </w:pPr>
      <w:r w:rsidRPr="009F2589">
        <w:rPr>
          <w:rFonts w:ascii="Arial" w:hAnsi="Arial" w:cs="Arial"/>
          <w:sz w:val="24"/>
          <w:szCs w:val="24"/>
        </w:rPr>
        <w:t xml:space="preserve">En todos los eventos el beneficiario suscribirá un acta en la cual se compromete a permanecer en el lugar o lugares indicados, a no cambiar de residencia sin previa                  autorización, a concurrir ante las autoridades cuando fuere requerido y, </w:t>
      </w:r>
      <w:r w:rsidRPr="009F2589">
        <w:rPr>
          <w:rFonts w:ascii="Arial" w:hAnsi="Arial" w:cs="Arial"/>
          <w:sz w:val="24"/>
          <w:szCs w:val="24"/>
        </w:rPr>
        <w:lastRenderedPageBreak/>
        <w:t>adicionalmente, podrá imponer la obligación de someterse a los mecanismos de control y vigilancia electrónica o de una persona o institución determinada, según lo disponga el juez.</w:t>
      </w:r>
    </w:p>
    <w:p w14:paraId="46D4B864" w14:textId="77777777" w:rsidR="009D381B" w:rsidRPr="009F2589" w:rsidRDefault="009D381B" w:rsidP="009D381B">
      <w:pPr>
        <w:suppressAutoHyphens/>
        <w:adjustRightInd w:val="0"/>
        <w:contextualSpacing/>
        <w:jc w:val="both"/>
        <w:textAlignment w:val="center"/>
        <w:rPr>
          <w:rFonts w:ascii="Arial" w:hAnsi="Arial" w:cs="Arial"/>
          <w:sz w:val="24"/>
          <w:szCs w:val="24"/>
        </w:rPr>
      </w:pPr>
    </w:p>
    <w:p w14:paraId="635AA03E" w14:textId="62E2167B" w:rsidR="009D381B" w:rsidRPr="009F2589" w:rsidRDefault="009D381B" w:rsidP="009D381B">
      <w:pPr>
        <w:suppressAutoHyphens/>
        <w:adjustRightInd w:val="0"/>
        <w:contextualSpacing/>
        <w:jc w:val="both"/>
        <w:textAlignment w:val="center"/>
        <w:rPr>
          <w:rFonts w:ascii="Arial" w:hAnsi="Arial" w:cs="Arial"/>
          <w:sz w:val="24"/>
          <w:szCs w:val="24"/>
        </w:rPr>
      </w:pPr>
      <w:r w:rsidRPr="009F2589">
        <w:rPr>
          <w:rFonts w:ascii="Arial" w:hAnsi="Arial" w:cs="Arial"/>
          <w:sz w:val="24"/>
          <w:szCs w:val="24"/>
        </w:rPr>
        <w:t>El control del cumplimiento de la detención en el lugar de residencia estará a cargo del INPEC, el cual realizará un control periódico sobre el cumplimiento de la detención domiciliaria y reportará a la Fiscalía sobre sus resultados para que si se advierten violaciones a las condiciones impuestas por el Jue</w:t>
      </w:r>
      <w:r w:rsidR="00F26F93">
        <w:rPr>
          <w:rFonts w:ascii="Arial" w:hAnsi="Arial" w:cs="Arial"/>
          <w:sz w:val="24"/>
          <w:szCs w:val="24"/>
        </w:rPr>
        <w:t xml:space="preserve">z se puedan adoptar las </w:t>
      </w:r>
      <w:r w:rsidRPr="009F2589">
        <w:rPr>
          <w:rFonts w:ascii="Arial" w:hAnsi="Arial" w:cs="Arial"/>
          <w:sz w:val="24"/>
          <w:szCs w:val="24"/>
        </w:rPr>
        <w:t>correspondientes acciones.</w:t>
      </w:r>
    </w:p>
    <w:p w14:paraId="26C25B5E" w14:textId="77777777" w:rsidR="009D381B" w:rsidRPr="009F2589" w:rsidRDefault="009D381B" w:rsidP="009D381B">
      <w:pPr>
        <w:suppressAutoHyphens/>
        <w:adjustRightInd w:val="0"/>
        <w:contextualSpacing/>
        <w:jc w:val="both"/>
        <w:textAlignment w:val="center"/>
        <w:rPr>
          <w:rFonts w:ascii="Arial" w:hAnsi="Arial" w:cs="Arial"/>
          <w:sz w:val="24"/>
          <w:szCs w:val="24"/>
        </w:rPr>
      </w:pPr>
    </w:p>
    <w:p w14:paraId="0937EDC2" w14:textId="77777777" w:rsidR="009D381B" w:rsidRPr="009F2589" w:rsidRDefault="009D381B" w:rsidP="009D381B">
      <w:pPr>
        <w:suppressAutoHyphens/>
        <w:adjustRightInd w:val="0"/>
        <w:contextualSpacing/>
        <w:jc w:val="both"/>
        <w:textAlignment w:val="center"/>
        <w:rPr>
          <w:rFonts w:ascii="Arial" w:hAnsi="Arial" w:cs="Arial"/>
          <w:sz w:val="24"/>
          <w:szCs w:val="24"/>
        </w:rPr>
      </w:pPr>
      <w:r w:rsidRPr="009F2589">
        <w:rPr>
          <w:rFonts w:ascii="Arial" w:hAnsi="Arial" w:cs="Arial"/>
          <w:b/>
          <w:bCs/>
          <w:sz w:val="24"/>
          <w:szCs w:val="24"/>
        </w:rPr>
        <w:t>PARÁGRAFO.</w:t>
      </w:r>
      <w:r w:rsidRPr="009F2589">
        <w:rPr>
          <w:rFonts w:ascii="Arial" w:hAnsi="Arial" w:cs="Arial"/>
          <w:sz w:val="24"/>
          <w:szCs w:val="24"/>
        </w:rPr>
        <w:t xml:space="preserve"> &lt;Parágrafo modificado por el artículo 5 de la Ley 1944 de 2018&gt; No procederá la sustitución de la detención preventiva en establecimiento carcelario, por detención domiciliaria cuando la imputación se refiera a los siguientes delitos: </w:t>
      </w:r>
    </w:p>
    <w:p w14:paraId="41A8DF54" w14:textId="77777777" w:rsidR="009D381B" w:rsidRPr="009F2589" w:rsidRDefault="009D381B" w:rsidP="009D381B">
      <w:pPr>
        <w:suppressAutoHyphens/>
        <w:adjustRightInd w:val="0"/>
        <w:contextualSpacing/>
        <w:jc w:val="both"/>
        <w:textAlignment w:val="center"/>
        <w:rPr>
          <w:rFonts w:ascii="Arial" w:hAnsi="Arial" w:cs="Arial"/>
          <w:sz w:val="24"/>
          <w:szCs w:val="24"/>
        </w:rPr>
      </w:pPr>
    </w:p>
    <w:p w14:paraId="068C67AB" w14:textId="245A8EEF" w:rsidR="009D381B" w:rsidRPr="007E392A" w:rsidRDefault="009D381B" w:rsidP="009D381B">
      <w:pPr>
        <w:suppressAutoHyphens/>
        <w:adjustRightInd w:val="0"/>
        <w:contextualSpacing/>
        <w:jc w:val="both"/>
        <w:textAlignment w:val="center"/>
        <w:rPr>
          <w:rFonts w:ascii="Arial" w:hAnsi="Arial" w:cs="Arial"/>
          <w:sz w:val="24"/>
          <w:szCs w:val="24"/>
        </w:rPr>
      </w:pPr>
      <w:r w:rsidRPr="009F2589">
        <w:rPr>
          <w:rFonts w:ascii="Arial" w:hAnsi="Arial" w:cs="Arial"/>
          <w:sz w:val="24"/>
          <w:szCs w:val="24"/>
        </w:rPr>
        <w:t xml:space="preserve">Los de competencia de los jueces penales del circuito especializados o quien haga sus veces, tráfico de migrante (C. P. artículo 188); acceso carnal o actos sexuales con incapaz de resistir (C. P. artículo 210); violencia intrafamiliar (C. P. artículo 229); hurto calificado (C. P. artículo 240); hurto agravado (C. P. artículo 241, numerales 7, 8, 11, 12 y 15); abigeato (C. P. artículo 243); abigeato agravado (C. P. artículo 243-A); estafa agravada (C. P. artículo 247); uso de documentos falsos relacionados con medios motorizados hurtados (C. P. artículo 291); fabricación, tráfico y porte de armas de fuego o municiones de uso personal, cuando concurra con el delito de concierto para delinquir (C. P. artículos 340 y 365), o los imputados registren sentencias condenatorias vigentes por los mismos delitos; fabricación, tráfico y porte de armas y municiones de uso privativo de las Fuerzas Armadas (C. P. artículo 366); fabricación, importación, tráfico, posesión y uso de armas químicas, biológicas y nucleares (C. P. artículo 367); peculado por apropiación en cuantía superior a cincuenta (50) salarios mínimos legales mensuales (C. P. artículo 397); concusión (C. P. artículo 404); cohecho propio (C. P. artículo 405); cohecho impropio (C. P. artículo 406); cohecho por dar u ofrecer (C. P. artículo 407); enriquecimiento ilícito (C. P. artículo 412); soborno transnacional (C. P. artículo 433); interés indebido en la celebración de contratos (C. P. artículo 409); contrato sin cumplimiento de requisito legales (C. P. artículo 410); tráfico de influencia (C.P. artículo 411); receptación repetida, continua (C. P. artículo 447, inciso 1o y 3o); receptación para ocultar o encubrir el delito de hurto calificado, la receptación para ocultar o encubrir el hurto calificado en concurso con el concierto para delinquir, receptación sobre medio motorizado o sus partes esenciales, o sobre mercancía o combustible que se lleve en ellos (C. P. artículo 447, inciso 2o) </w:t>
      </w:r>
      <w:r w:rsidRPr="007E392A">
        <w:rPr>
          <w:rFonts w:ascii="Arial" w:hAnsi="Arial" w:cs="Arial"/>
          <w:bCs/>
          <w:sz w:val="24"/>
          <w:szCs w:val="24"/>
        </w:rPr>
        <w:t xml:space="preserve">y </w:t>
      </w:r>
      <w:proofErr w:type="spellStart"/>
      <w:r w:rsidRPr="007E392A">
        <w:rPr>
          <w:rFonts w:ascii="Arial" w:hAnsi="Arial" w:cs="Arial"/>
          <w:bCs/>
          <w:sz w:val="24"/>
          <w:szCs w:val="24"/>
        </w:rPr>
        <w:t>feminicidio</w:t>
      </w:r>
      <w:proofErr w:type="spellEnd"/>
      <w:r w:rsidRPr="007E392A">
        <w:rPr>
          <w:rFonts w:ascii="Arial" w:hAnsi="Arial" w:cs="Arial"/>
          <w:bCs/>
          <w:sz w:val="24"/>
          <w:szCs w:val="24"/>
        </w:rPr>
        <w:t xml:space="preserve"> sin distinción en su categoría (C.P. artículos 104A y 104B).</w:t>
      </w:r>
    </w:p>
    <w:p w14:paraId="5371CFE8" w14:textId="77777777" w:rsidR="009D381B" w:rsidRPr="009F2589" w:rsidRDefault="009D381B" w:rsidP="009D381B">
      <w:pPr>
        <w:suppressAutoHyphens/>
        <w:adjustRightInd w:val="0"/>
        <w:contextualSpacing/>
        <w:jc w:val="both"/>
        <w:textAlignment w:val="center"/>
        <w:rPr>
          <w:rFonts w:ascii="Arial" w:hAnsi="Arial" w:cs="Arial"/>
          <w:b/>
          <w:bCs/>
          <w:caps/>
          <w:sz w:val="24"/>
          <w:szCs w:val="24"/>
        </w:rPr>
      </w:pPr>
    </w:p>
    <w:p w14:paraId="5041C761" w14:textId="77777777" w:rsidR="009D381B" w:rsidRPr="009F2589" w:rsidRDefault="009D381B" w:rsidP="009D381B">
      <w:pPr>
        <w:suppressAutoHyphens/>
        <w:adjustRightInd w:val="0"/>
        <w:contextualSpacing/>
        <w:jc w:val="both"/>
        <w:textAlignment w:val="center"/>
        <w:rPr>
          <w:rFonts w:ascii="Arial" w:hAnsi="Arial" w:cs="Arial"/>
          <w:b/>
          <w:bCs/>
          <w:caps/>
          <w:sz w:val="24"/>
          <w:szCs w:val="24"/>
        </w:rPr>
      </w:pPr>
    </w:p>
    <w:p w14:paraId="068AB4C0" w14:textId="77777777" w:rsidR="009D381B" w:rsidRPr="009F2589" w:rsidRDefault="009D381B" w:rsidP="009D381B">
      <w:pPr>
        <w:suppressAutoHyphens/>
        <w:adjustRightInd w:val="0"/>
        <w:contextualSpacing/>
        <w:jc w:val="both"/>
        <w:textAlignment w:val="center"/>
        <w:rPr>
          <w:rFonts w:ascii="Arial" w:hAnsi="Arial" w:cs="Arial"/>
          <w:b/>
          <w:bCs/>
          <w:caps/>
          <w:sz w:val="24"/>
          <w:szCs w:val="24"/>
        </w:rPr>
      </w:pPr>
    </w:p>
    <w:p w14:paraId="1244DB6E" w14:textId="77777777" w:rsidR="009D381B" w:rsidRPr="009F2589" w:rsidRDefault="009D381B" w:rsidP="009D381B">
      <w:pPr>
        <w:suppressAutoHyphens/>
        <w:adjustRightInd w:val="0"/>
        <w:contextualSpacing/>
        <w:jc w:val="both"/>
        <w:textAlignment w:val="center"/>
        <w:rPr>
          <w:rFonts w:ascii="Arial" w:hAnsi="Arial" w:cs="Arial"/>
          <w:b/>
          <w:bCs/>
          <w:sz w:val="24"/>
          <w:szCs w:val="24"/>
        </w:rPr>
      </w:pPr>
    </w:p>
    <w:p w14:paraId="76A2CED8" w14:textId="77777777" w:rsidR="009D381B" w:rsidRPr="009F2589" w:rsidRDefault="009D381B" w:rsidP="009D381B">
      <w:pPr>
        <w:suppressAutoHyphens/>
        <w:adjustRightInd w:val="0"/>
        <w:contextualSpacing/>
        <w:jc w:val="both"/>
        <w:textAlignment w:val="center"/>
        <w:rPr>
          <w:rFonts w:ascii="Arial" w:hAnsi="Arial" w:cs="Arial"/>
          <w:b/>
          <w:bCs/>
          <w:sz w:val="24"/>
          <w:szCs w:val="24"/>
        </w:rPr>
      </w:pPr>
    </w:p>
    <w:p w14:paraId="5EE62409" w14:textId="77777777" w:rsidR="009D381B" w:rsidRPr="009F2589" w:rsidRDefault="009D381B" w:rsidP="009D381B">
      <w:pPr>
        <w:suppressAutoHyphens/>
        <w:adjustRightInd w:val="0"/>
        <w:contextualSpacing/>
        <w:jc w:val="both"/>
        <w:textAlignment w:val="center"/>
        <w:rPr>
          <w:rFonts w:ascii="Arial" w:hAnsi="Arial" w:cs="Arial"/>
          <w:b/>
          <w:bCs/>
          <w:sz w:val="24"/>
          <w:szCs w:val="24"/>
        </w:rPr>
      </w:pPr>
    </w:p>
    <w:p w14:paraId="3E0158F1" w14:textId="77777777" w:rsidR="009D381B" w:rsidRPr="009F2589" w:rsidRDefault="009D381B" w:rsidP="009D381B">
      <w:pPr>
        <w:suppressAutoHyphens/>
        <w:adjustRightInd w:val="0"/>
        <w:contextualSpacing/>
        <w:jc w:val="both"/>
        <w:textAlignment w:val="center"/>
        <w:rPr>
          <w:rFonts w:ascii="Arial" w:hAnsi="Arial" w:cs="Arial"/>
          <w:sz w:val="24"/>
          <w:szCs w:val="24"/>
        </w:rPr>
      </w:pPr>
      <w:r w:rsidRPr="009F2589">
        <w:rPr>
          <w:rFonts w:ascii="Arial" w:hAnsi="Arial" w:cs="Arial"/>
          <w:b/>
          <w:bCs/>
          <w:sz w:val="24"/>
          <w:szCs w:val="24"/>
        </w:rPr>
        <w:t xml:space="preserve">Artículo </w:t>
      </w:r>
      <w:r w:rsidRPr="009F2589">
        <w:rPr>
          <w:rFonts w:ascii="Arial" w:hAnsi="Arial" w:cs="Arial"/>
          <w:b/>
          <w:bCs/>
          <w:caps/>
          <w:sz w:val="24"/>
          <w:szCs w:val="24"/>
        </w:rPr>
        <w:t>3</w:t>
      </w:r>
      <w:r w:rsidRPr="009F2589">
        <w:rPr>
          <w:rFonts w:ascii="Arial" w:hAnsi="Arial" w:cs="Arial"/>
          <w:caps/>
          <w:sz w:val="24"/>
          <w:szCs w:val="24"/>
          <w:rtl/>
          <w:lang w:bidi="ar-YE"/>
        </w:rPr>
        <w:t>°</w:t>
      </w:r>
      <w:r w:rsidRPr="009F2589">
        <w:rPr>
          <w:rFonts w:ascii="Arial" w:hAnsi="Arial" w:cs="Arial"/>
          <w:b/>
          <w:bCs/>
          <w:caps/>
          <w:sz w:val="24"/>
          <w:szCs w:val="24"/>
        </w:rPr>
        <w:t>.</w:t>
      </w:r>
      <w:r w:rsidRPr="009F2589">
        <w:rPr>
          <w:rFonts w:ascii="Arial" w:hAnsi="Arial" w:cs="Arial"/>
          <w:caps/>
          <w:sz w:val="24"/>
          <w:szCs w:val="24"/>
        </w:rPr>
        <w:t xml:space="preserve"> </w:t>
      </w:r>
      <w:r w:rsidRPr="009F2589">
        <w:rPr>
          <w:rFonts w:ascii="Arial" w:hAnsi="Arial" w:cs="Arial"/>
          <w:bCs/>
          <w:sz w:val="24"/>
          <w:szCs w:val="24"/>
        </w:rPr>
        <w:t xml:space="preserve">La presente ley rige a partir de la fecha de su promulgación y deroga las disposiciones que le sean contrarias.  </w:t>
      </w:r>
    </w:p>
    <w:p w14:paraId="1A3950D7" w14:textId="77777777" w:rsidR="00A5515D" w:rsidRPr="009F2589" w:rsidRDefault="00A5515D" w:rsidP="00DE0F69">
      <w:pPr>
        <w:jc w:val="both"/>
        <w:rPr>
          <w:rFonts w:ascii="Arial" w:hAnsi="Arial" w:cs="Arial"/>
          <w:sz w:val="24"/>
          <w:szCs w:val="24"/>
        </w:rPr>
      </w:pPr>
    </w:p>
    <w:p w14:paraId="563073C8" w14:textId="62C71954" w:rsidR="00DE0F69" w:rsidRPr="009F2589" w:rsidRDefault="005C1623" w:rsidP="00DE0F69">
      <w:pPr>
        <w:jc w:val="both"/>
        <w:rPr>
          <w:rFonts w:ascii="Arial" w:eastAsia="Times New Roman" w:hAnsi="Arial" w:cs="Arial"/>
          <w:b/>
          <w:sz w:val="24"/>
          <w:szCs w:val="24"/>
          <w:lang w:eastAsia="es-CO"/>
        </w:rPr>
      </w:pPr>
      <w:r w:rsidRPr="009F2589">
        <w:rPr>
          <w:rFonts w:ascii="Arial" w:hAnsi="Arial" w:cs="Arial"/>
          <w:sz w:val="24"/>
          <w:szCs w:val="24"/>
        </w:rPr>
        <w:t>E</w:t>
      </w:r>
      <w:r w:rsidR="00DE0F69" w:rsidRPr="009F2589">
        <w:rPr>
          <w:rFonts w:ascii="Arial" w:hAnsi="Arial" w:cs="Arial"/>
          <w:sz w:val="24"/>
          <w:szCs w:val="24"/>
        </w:rPr>
        <w:t>n</w:t>
      </w:r>
      <w:r w:rsidR="00DE0F69" w:rsidRPr="009F2589">
        <w:rPr>
          <w:rFonts w:ascii="Arial" w:hAnsi="Arial" w:cs="Arial"/>
          <w:sz w:val="24"/>
          <w:szCs w:val="24"/>
          <w:lang w:val="es-ES" w:eastAsia="es-ES"/>
        </w:rPr>
        <w:t xml:space="preserve"> los anteriores términos fue aprobado con modifi</w:t>
      </w:r>
      <w:r w:rsidR="003B7C49" w:rsidRPr="009F2589">
        <w:rPr>
          <w:rFonts w:ascii="Arial" w:hAnsi="Arial" w:cs="Arial"/>
          <w:sz w:val="24"/>
          <w:szCs w:val="24"/>
          <w:lang w:val="es-ES" w:eastAsia="es-ES"/>
        </w:rPr>
        <w:t>caciones el presente Proyecto de Ley según consta en Acta No. 11 de Sesión de Septiembre 14</w:t>
      </w:r>
      <w:r w:rsidR="00773A5D" w:rsidRPr="009F2589">
        <w:rPr>
          <w:rFonts w:ascii="Arial" w:hAnsi="Arial" w:cs="Arial"/>
          <w:sz w:val="24"/>
          <w:szCs w:val="24"/>
          <w:lang w:val="es-ES" w:eastAsia="es-ES"/>
        </w:rPr>
        <w:t xml:space="preserve"> </w:t>
      </w:r>
      <w:r w:rsidR="009501D7" w:rsidRPr="009F2589">
        <w:rPr>
          <w:rFonts w:ascii="Arial" w:hAnsi="Arial" w:cs="Arial"/>
          <w:sz w:val="24"/>
          <w:szCs w:val="24"/>
          <w:lang w:val="es-ES" w:eastAsia="es-ES"/>
        </w:rPr>
        <w:t>de</w:t>
      </w:r>
      <w:r w:rsidR="00B82098" w:rsidRPr="009F2589">
        <w:rPr>
          <w:rFonts w:ascii="Arial" w:hAnsi="Arial" w:cs="Arial"/>
          <w:sz w:val="24"/>
          <w:szCs w:val="24"/>
          <w:lang w:val="es-ES" w:eastAsia="es-ES"/>
        </w:rPr>
        <w:t xml:space="preserve"> 2022</w:t>
      </w:r>
      <w:r w:rsidR="00561E5C" w:rsidRPr="009F2589">
        <w:rPr>
          <w:rFonts w:ascii="Arial" w:hAnsi="Arial" w:cs="Arial"/>
          <w:sz w:val="24"/>
          <w:szCs w:val="24"/>
          <w:lang w:val="es-ES" w:eastAsia="es-ES"/>
        </w:rPr>
        <w:t>.</w:t>
      </w:r>
      <w:r w:rsidR="00DD1ABA">
        <w:rPr>
          <w:rFonts w:ascii="Arial" w:hAnsi="Arial" w:cs="Arial"/>
          <w:sz w:val="24"/>
          <w:szCs w:val="24"/>
          <w:lang w:val="es-ES" w:eastAsia="es-ES"/>
        </w:rPr>
        <w:t xml:space="preserve"> Anunciado </w:t>
      </w:r>
      <w:r w:rsidR="00DE0F69" w:rsidRPr="009F2589">
        <w:rPr>
          <w:rFonts w:ascii="Arial" w:hAnsi="Arial" w:cs="Arial"/>
          <w:sz w:val="24"/>
          <w:szCs w:val="24"/>
          <w:lang w:val="es-ES" w:eastAsia="es-ES"/>
        </w:rPr>
        <w:t xml:space="preserve">el </w:t>
      </w:r>
      <w:r w:rsidR="003B7C49" w:rsidRPr="009F2589">
        <w:rPr>
          <w:rFonts w:ascii="Arial" w:hAnsi="Arial" w:cs="Arial"/>
          <w:sz w:val="24"/>
          <w:szCs w:val="24"/>
          <w:lang w:val="es-ES" w:eastAsia="es-ES"/>
        </w:rPr>
        <w:t>13</w:t>
      </w:r>
      <w:r w:rsidR="00773A5D" w:rsidRPr="009F2589">
        <w:rPr>
          <w:rFonts w:ascii="Arial" w:hAnsi="Arial" w:cs="Arial"/>
          <w:sz w:val="24"/>
          <w:szCs w:val="24"/>
          <w:lang w:val="es-ES" w:eastAsia="es-ES"/>
        </w:rPr>
        <w:t xml:space="preserve"> de Agosto</w:t>
      </w:r>
      <w:r w:rsidR="00DE0F69" w:rsidRPr="009F2589">
        <w:rPr>
          <w:rFonts w:ascii="Arial" w:hAnsi="Arial" w:cs="Arial"/>
          <w:sz w:val="24"/>
          <w:szCs w:val="24"/>
          <w:lang w:val="es-ES" w:eastAsia="es-ES"/>
        </w:rPr>
        <w:t xml:space="preserve"> de 2022</w:t>
      </w:r>
      <w:r w:rsidR="003B7C49" w:rsidRPr="009F2589">
        <w:rPr>
          <w:rFonts w:ascii="Arial" w:hAnsi="Arial" w:cs="Arial"/>
          <w:sz w:val="24"/>
          <w:szCs w:val="24"/>
          <w:lang w:val="es-ES" w:eastAsia="es-ES"/>
        </w:rPr>
        <w:t xml:space="preserve"> según consta en Acta No. 10</w:t>
      </w:r>
      <w:r w:rsidR="00561E5C" w:rsidRPr="009F2589">
        <w:rPr>
          <w:rFonts w:ascii="Arial" w:hAnsi="Arial" w:cs="Arial"/>
          <w:sz w:val="24"/>
          <w:szCs w:val="24"/>
          <w:lang w:val="es-ES" w:eastAsia="es-ES"/>
        </w:rPr>
        <w:t>.</w:t>
      </w:r>
    </w:p>
    <w:p w14:paraId="46F4DA47" w14:textId="77777777" w:rsidR="006F287E" w:rsidRPr="009F2589" w:rsidRDefault="006F287E" w:rsidP="00ED247F">
      <w:pPr>
        <w:spacing w:after="0" w:line="240" w:lineRule="auto"/>
        <w:jc w:val="both"/>
        <w:rPr>
          <w:rFonts w:ascii="Arial" w:eastAsia="Times New Roman" w:hAnsi="Arial" w:cs="Arial"/>
          <w:b/>
          <w:sz w:val="24"/>
          <w:szCs w:val="24"/>
          <w:lang w:eastAsia="es-CO"/>
        </w:rPr>
      </w:pPr>
    </w:p>
    <w:p w14:paraId="1D25F774" w14:textId="77777777" w:rsidR="00091958" w:rsidRPr="009F2589" w:rsidRDefault="00091958" w:rsidP="00ED247F">
      <w:pPr>
        <w:spacing w:after="0" w:line="240" w:lineRule="auto"/>
        <w:jc w:val="both"/>
        <w:rPr>
          <w:rFonts w:ascii="Arial" w:eastAsia="Times New Roman" w:hAnsi="Arial" w:cs="Arial"/>
          <w:b/>
          <w:sz w:val="24"/>
          <w:szCs w:val="24"/>
          <w:lang w:eastAsia="es-CO"/>
        </w:rPr>
      </w:pPr>
    </w:p>
    <w:p w14:paraId="23DF0194" w14:textId="77777777" w:rsidR="00A5515D" w:rsidRPr="009F2589" w:rsidRDefault="00A5515D" w:rsidP="00ED247F">
      <w:pPr>
        <w:spacing w:after="0" w:line="240" w:lineRule="auto"/>
        <w:jc w:val="both"/>
        <w:rPr>
          <w:rFonts w:ascii="Arial" w:eastAsia="Times New Roman" w:hAnsi="Arial" w:cs="Arial"/>
          <w:b/>
          <w:sz w:val="24"/>
          <w:szCs w:val="24"/>
          <w:lang w:eastAsia="es-CO"/>
        </w:rPr>
      </w:pPr>
    </w:p>
    <w:p w14:paraId="5492EB97" w14:textId="77777777" w:rsidR="00091958" w:rsidRPr="009F2589" w:rsidRDefault="00091958" w:rsidP="00ED247F">
      <w:pPr>
        <w:spacing w:after="0" w:line="240" w:lineRule="auto"/>
        <w:jc w:val="both"/>
        <w:rPr>
          <w:rFonts w:ascii="Arial" w:eastAsia="Times New Roman" w:hAnsi="Arial" w:cs="Arial"/>
          <w:b/>
          <w:sz w:val="24"/>
          <w:szCs w:val="24"/>
          <w:lang w:eastAsia="es-CO"/>
        </w:rPr>
      </w:pPr>
    </w:p>
    <w:p w14:paraId="608C17A5" w14:textId="3E2FE653" w:rsidR="00ED247F" w:rsidRPr="007C2A3E" w:rsidRDefault="00091958" w:rsidP="00ED247F">
      <w:pPr>
        <w:spacing w:after="0" w:line="240" w:lineRule="auto"/>
        <w:jc w:val="both"/>
        <w:rPr>
          <w:rFonts w:ascii="Arial" w:eastAsia="Times New Roman" w:hAnsi="Arial" w:cs="Arial"/>
          <w:b/>
          <w:lang w:eastAsia="es-CO"/>
        </w:rPr>
      </w:pPr>
      <w:r w:rsidRPr="007C2A3E">
        <w:rPr>
          <w:rFonts w:ascii="Arial" w:eastAsia="Times New Roman" w:hAnsi="Arial" w:cs="Arial"/>
          <w:b/>
          <w:lang w:eastAsia="es-CO"/>
        </w:rPr>
        <w:t>A</w:t>
      </w:r>
      <w:r w:rsidR="004B6C27" w:rsidRPr="007C2A3E">
        <w:rPr>
          <w:rFonts w:ascii="Arial" w:eastAsia="Times New Roman" w:hAnsi="Arial" w:cs="Arial"/>
          <w:b/>
          <w:lang w:eastAsia="es-CO"/>
        </w:rPr>
        <w:t xml:space="preserve">DRIANA CAROLINA ARBELÁEZ GIRALDO       </w:t>
      </w:r>
      <w:r w:rsidR="007C2A3E">
        <w:rPr>
          <w:rFonts w:ascii="Arial" w:eastAsia="Times New Roman" w:hAnsi="Arial" w:cs="Arial"/>
          <w:b/>
          <w:lang w:eastAsia="es-CO"/>
        </w:rPr>
        <w:t xml:space="preserve">    </w:t>
      </w:r>
      <w:r w:rsidR="00773A5D" w:rsidRPr="007C2A3E">
        <w:rPr>
          <w:rFonts w:ascii="Arial" w:eastAsia="Times New Roman" w:hAnsi="Arial" w:cs="Arial"/>
          <w:b/>
          <w:lang w:eastAsia="es-CO"/>
        </w:rPr>
        <w:t>JUAN CARLOS WILLS OSPINA</w:t>
      </w:r>
    </w:p>
    <w:p w14:paraId="75139BE4" w14:textId="33AD3599" w:rsidR="00ED247F" w:rsidRPr="007C2A3E" w:rsidRDefault="003B5426" w:rsidP="00ED247F">
      <w:pPr>
        <w:spacing w:after="0" w:line="240" w:lineRule="auto"/>
        <w:jc w:val="both"/>
        <w:rPr>
          <w:rFonts w:ascii="Arial" w:eastAsia="Times New Roman" w:hAnsi="Arial" w:cs="Arial"/>
          <w:lang w:eastAsia="es-CO"/>
        </w:rPr>
      </w:pPr>
      <w:r w:rsidRPr="007C2A3E">
        <w:rPr>
          <w:rFonts w:ascii="Arial" w:eastAsia="Times New Roman" w:hAnsi="Arial" w:cs="Arial"/>
          <w:lang w:eastAsia="es-CO"/>
        </w:rPr>
        <w:t>Ponente C</w:t>
      </w:r>
      <w:r w:rsidR="00ED247F" w:rsidRPr="007C2A3E">
        <w:rPr>
          <w:rFonts w:ascii="Arial" w:eastAsia="Times New Roman" w:hAnsi="Arial" w:cs="Arial"/>
          <w:lang w:eastAsia="es-CO"/>
        </w:rPr>
        <w:t>oordinador</w:t>
      </w:r>
      <w:r w:rsidR="00091958" w:rsidRPr="007C2A3E">
        <w:rPr>
          <w:rFonts w:ascii="Arial" w:eastAsia="Times New Roman" w:hAnsi="Arial" w:cs="Arial"/>
          <w:lang w:eastAsia="es-CO"/>
        </w:rPr>
        <w:t>a</w:t>
      </w:r>
      <w:r w:rsidR="00ED247F" w:rsidRPr="007C2A3E">
        <w:rPr>
          <w:rFonts w:ascii="Arial" w:eastAsia="Times New Roman" w:hAnsi="Arial" w:cs="Arial"/>
          <w:lang w:eastAsia="es-CO"/>
        </w:rPr>
        <w:tab/>
      </w:r>
      <w:r w:rsidR="00ED247F" w:rsidRPr="007C2A3E">
        <w:rPr>
          <w:rFonts w:ascii="Arial" w:eastAsia="Times New Roman" w:hAnsi="Arial" w:cs="Arial"/>
          <w:lang w:eastAsia="es-CO"/>
        </w:rPr>
        <w:tab/>
      </w:r>
      <w:r w:rsidR="00ED247F" w:rsidRPr="007C2A3E">
        <w:rPr>
          <w:rFonts w:ascii="Arial" w:eastAsia="Times New Roman" w:hAnsi="Arial" w:cs="Arial"/>
          <w:lang w:eastAsia="es-CO"/>
        </w:rPr>
        <w:tab/>
      </w:r>
      <w:r w:rsidR="001C3B3B" w:rsidRPr="007C2A3E">
        <w:rPr>
          <w:rFonts w:ascii="Arial" w:eastAsia="Times New Roman" w:hAnsi="Arial" w:cs="Arial"/>
          <w:lang w:eastAsia="es-CO"/>
        </w:rPr>
        <w:tab/>
      </w:r>
      <w:r w:rsidR="000D1985" w:rsidRPr="007C2A3E">
        <w:rPr>
          <w:rFonts w:ascii="Arial" w:eastAsia="Times New Roman" w:hAnsi="Arial" w:cs="Arial"/>
          <w:lang w:eastAsia="es-CO"/>
        </w:rPr>
        <w:t xml:space="preserve">     </w:t>
      </w:r>
      <w:r w:rsidR="00ED247F" w:rsidRPr="007C2A3E">
        <w:rPr>
          <w:rFonts w:ascii="Arial" w:eastAsia="Times New Roman" w:hAnsi="Arial" w:cs="Arial"/>
          <w:lang w:eastAsia="es-CO"/>
        </w:rPr>
        <w:t>Presidente</w:t>
      </w:r>
    </w:p>
    <w:p w14:paraId="6E318636" w14:textId="77777777" w:rsidR="00992371" w:rsidRPr="007C2A3E" w:rsidRDefault="00992371" w:rsidP="00ED247F">
      <w:pPr>
        <w:spacing w:after="0" w:line="240" w:lineRule="auto"/>
        <w:jc w:val="both"/>
        <w:rPr>
          <w:rFonts w:ascii="Arial" w:eastAsia="Times New Roman" w:hAnsi="Arial" w:cs="Arial"/>
          <w:b/>
          <w:lang w:eastAsia="es-CO"/>
        </w:rPr>
      </w:pPr>
    </w:p>
    <w:p w14:paraId="43141F50" w14:textId="77777777" w:rsidR="009F2589" w:rsidRPr="007C2A3E" w:rsidRDefault="009F2589" w:rsidP="00ED247F">
      <w:pPr>
        <w:spacing w:after="0" w:line="240" w:lineRule="auto"/>
        <w:jc w:val="both"/>
        <w:rPr>
          <w:rFonts w:ascii="Arial" w:eastAsia="Times New Roman" w:hAnsi="Arial" w:cs="Arial"/>
          <w:b/>
          <w:lang w:eastAsia="es-CO"/>
        </w:rPr>
      </w:pPr>
    </w:p>
    <w:p w14:paraId="76020AD7" w14:textId="77777777" w:rsidR="009F2589" w:rsidRPr="007C2A3E" w:rsidRDefault="009F2589" w:rsidP="00ED247F">
      <w:pPr>
        <w:spacing w:after="0" w:line="240" w:lineRule="auto"/>
        <w:jc w:val="both"/>
        <w:rPr>
          <w:rFonts w:ascii="Arial" w:eastAsia="Times New Roman" w:hAnsi="Arial" w:cs="Arial"/>
          <w:b/>
          <w:lang w:eastAsia="es-CO"/>
        </w:rPr>
      </w:pPr>
    </w:p>
    <w:p w14:paraId="5AE4872E" w14:textId="77777777" w:rsidR="000D1985" w:rsidRPr="007C2A3E" w:rsidRDefault="00234EB6" w:rsidP="00DF170E">
      <w:pPr>
        <w:spacing w:after="0" w:line="240" w:lineRule="auto"/>
        <w:jc w:val="both"/>
        <w:rPr>
          <w:rFonts w:ascii="Arial" w:eastAsia="Times New Roman" w:hAnsi="Arial" w:cs="Arial"/>
          <w:b/>
          <w:lang w:eastAsia="es-CO"/>
        </w:rPr>
      </w:pPr>
      <w:r w:rsidRPr="007C2A3E">
        <w:rPr>
          <w:rFonts w:ascii="Arial" w:eastAsia="Times New Roman" w:hAnsi="Arial" w:cs="Arial"/>
          <w:b/>
          <w:lang w:eastAsia="es-CO"/>
        </w:rPr>
        <w:t xml:space="preserve">   </w:t>
      </w:r>
      <w:r w:rsidR="00494AAD" w:rsidRPr="007C2A3E">
        <w:rPr>
          <w:rFonts w:ascii="Arial" w:eastAsia="Times New Roman" w:hAnsi="Arial" w:cs="Arial"/>
          <w:b/>
          <w:lang w:eastAsia="es-CO"/>
        </w:rPr>
        <w:tab/>
      </w:r>
    </w:p>
    <w:p w14:paraId="5BD887A4" w14:textId="48DF6455" w:rsidR="00DF170E" w:rsidRPr="007C2A3E" w:rsidRDefault="000D1985" w:rsidP="00DF170E">
      <w:pPr>
        <w:spacing w:after="0" w:line="240" w:lineRule="auto"/>
        <w:jc w:val="both"/>
        <w:rPr>
          <w:rFonts w:ascii="Arial" w:eastAsia="Times New Roman" w:hAnsi="Arial" w:cs="Arial"/>
          <w:b/>
          <w:lang w:eastAsia="es-CO"/>
        </w:rPr>
      </w:pPr>
      <w:r w:rsidRPr="007C2A3E">
        <w:rPr>
          <w:rFonts w:ascii="Arial" w:eastAsia="Times New Roman" w:hAnsi="Arial" w:cs="Arial"/>
          <w:b/>
          <w:lang w:eastAsia="es-CO"/>
        </w:rPr>
        <w:t xml:space="preserve">             </w:t>
      </w:r>
      <w:r w:rsidR="000530B0" w:rsidRPr="007C2A3E">
        <w:rPr>
          <w:rFonts w:ascii="Arial" w:eastAsia="Times New Roman" w:hAnsi="Arial" w:cs="Arial"/>
          <w:b/>
          <w:lang w:eastAsia="es-CO"/>
        </w:rPr>
        <w:t xml:space="preserve">                   </w:t>
      </w:r>
      <w:r w:rsidR="00992371" w:rsidRPr="007C2A3E">
        <w:rPr>
          <w:rFonts w:ascii="Arial" w:eastAsia="Times New Roman" w:hAnsi="Arial" w:cs="Arial"/>
          <w:b/>
          <w:lang w:eastAsia="es-CO"/>
        </w:rPr>
        <w:t xml:space="preserve"> </w:t>
      </w:r>
      <w:r w:rsidR="00DF170E" w:rsidRPr="007C2A3E">
        <w:rPr>
          <w:rFonts w:ascii="Arial" w:eastAsia="Times New Roman" w:hAnsi="Arial" w:cs="Arial"/>
          <w:b/>
          <w:lang w:eastAsia="es-CO"/>
        </w:rPr>
        <w:t>AMPARO Y. CALDERON PERDOMO</w:t>
      </w:r>
    </w:p>
    <w:p w14:paraId="588C3E94" w14:textId="5DE017D2" w:rsidR="00BF34E3" w:rsidRPr="007C2A3E" w:rsidRDefault="00234EB6" w:rsidP="00494AAD">
      <w:pPr>
        <w:tabs>
          <w:tab w:val="center" w:pos="4419"/>
        </w:tabs>
        <w:spacing w:after="0" w:line="240" w:lineRule="auto"/>
        <w:jc w:val="both"/>
        <w:rPr>
          <w:rFonts w:ascii="Arial" w:eastAsia="Times New Roman" w:hAnsi="Arial" w:cs="Arial"/>
          <w:lang w:eastAsia="es-CO"/>
        </w:rPr>
      </w:pPr>
      <w:r w:rsidRPr="007C2A3E">
        <w:rPr>
          <w:rFonts w:ascii="Arial" w:eastAsia="Times New Roman" w:hAnsi="Arial" w:cs="Arial"/>
          <w:lang w:eastAsia="es-CO"/>
        </w:rPr>
        <w:t xml:space="preserve">                                   </w:t>
      </w:r>
      <w:r w:rsidR="001C3B3B" w:rsidRPr="007C2A3E">
        <w:rPr>
          <w:rFonts w:ascii="Arial" w:eastAsia="Times New Roman" w:hAnsi="Arial" w:cs="Arial"/>
          <w:lang w:eastAsia="es-CO"/>
        </w:rPr>
        <w:t xml:space="preserve">          </w:t>
      </w:r>
      <w:r w:rsidR="00992371" w:rsidRPr="007C2A3E">
        <w:rPr>
          <w:rFonts w:ascii="Arial" w:eastAsia="Times New Roman" w:hAnsi="Arial" w:cs="Arial"/>
          <w:lang w:eastAsia="es-CO"/>
        </w:rPr>
        <w:t xml:space="preserve">        </w:t>
      </w:r>
      <w:r w:rsidR="001C3B3B" w:rsidRPr="007C2A3E">
        <w:rPr>
          <w:rFonts w:ascii="Arial" w:eastAsia="Times New Roman" w:hAnsi="Arial" w:cs="Arial"/>
          <w:lang w:eastAsia="es-CO"/>
        </w:rPr>
        <w:t xml:space="preserve"> </w:t>
      </w:r>
      <w:r w:rsidR="00DF170E" w:rsidRPr="007C2A3E">
        <w:rPr>
          <w:rFonts w:ascii="Arial" w:eastAsia="Times New Roman" w:hAnsi="Arial" w:cs="Arial"/>
          <w:lang w:eastAsia="es-CO"/>
        </w:rPr>
        <w:t>Secretaria</w:t>
      </w:r>
    </w:p>
    <w:sectPr w:rsidR="00BF34E3" w:rsidRPr="007C2A3E"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898D1" w14:textId="77777777" w:rsidR="00B40728" w:rsidRDefault="00B40728" w:rsidP="00F464B3">
      <w:pPr>
        <w:spacing w:after="0" w:line="240" w:lineRule="auto"/>
      </w:pPr>
      <w:r>
        <w:separator/>
      </w:r>
    </w:p>
  </w:endnote>
  <w:endnote w:type="continuationSeparator" w:id="0">
    <w:p w14:paraId="5D107BE7" w14:textId="77777777" w:rsidR="00B40728" w:rsidRDefault="00B40728"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4D28D2" w:rsidRPr="004D28D2">
          <w:rPr>
            <w:noProof/>
            <w:lang w:val="es-ES"/>
          </w:rPr>
          <w:t>4</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AF1F4" w14:textId="77777777" w:rsidR="00B40728" w:rsidRDefault="00B40728" w:rsidP="00F464B3">
      <w:pPr>
        <w:spacing w:after="0" w:line="240" w:lineRule="auto"/>
      </w:pPr>
      <w:r>
        <w:separator/>
      </w:r>
    </w:p>
  </w:footnote>
  <w:footnote w:type="continuationSeparator" w:id="0">
    <w:p w14:paraId="72B6DA22" w14:textId="77777777" w:rsidR="00B40728" w:rsidRDefault="00B40728"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5">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7">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1">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7"/>
  </w:num>
  <w:num w:numId="2">
    <w:abstractNumId w:val="34"/>
  </w:num>
  <w:num w:numId="3">
    <w:abstractNumId w:val="36"/>
  </w:num>
  <w:num w:numId="4">
    <w:abstractNumId w:val="22"/>
  </w:num>
  <w:num w:numId="5">
    <w:abstractNumId w:val="31"/>
  </w:num>
  <w:num w:numId="6">
    <w:abstractNumId w:val="41"/>
  </w:num>
  <w:num w:numId="7">
    <w:abstractNumId w:val="56"/>
  </w:num>
  <w:num w:numId="8">
    <w:abstractNumId w:val="6"/>
  </w:num>
  <w:num w:numId="9">
    <w:abstractNumId w:val="9"/>
  </w:num>
  <w:num w:numId="10">
    <w:abstractNumId w:val="38"/>
  </w:num>
  <w:num w:numId="11">
    <w:abstractNumId w:val="43"/>
  </w:num>
  <w:num w:numId="12">
    <w:abstractNumId w:val="45"/>
  </w:num>
  <w:num w:numId="13">
    <w:abstractNumId w:val="42"/>
  </w:num>
  <w:num w:numId="14">
    <w:abstractNumId w:val="51"/>
  </w:num>
  <w:num w:numId="15">
    <w:abstractNumId w:val="39"/>
  </w:num>
  <w:num w:numId="16">
    <w:abstractNumId w:val="12"/>
  </w:num>
  <w:num w:numId="17">
    <w:abstractNumId w:val="8"/>
  </w:num>
  <w:num w:numId="18">
    <w:abstractNumId w:val="16"/>
  </w:num>
  <w:num w:numId="19">
    <w:abstractNumId w:val="17"/>
  </w:num>
  <w:num w:numId="20">
    <w:abstractNumId w:val="52"/>
  </w:num>
  <w:num w:numId="21">
    <w:abstractNumId w:val="27"/>
  </w:num>
  <w:num w:numId="22">
    <w:abstractNumId w:val="57"/>
  </w:num>
  <w:num w:numId="23">
    <w:abstractNumId w:val="21"/>
  </w:num>
  <w:num w:numId="24">
    <w:abstractNumId w:val="5"/>
  </w:num>
  <w:num w:numId="25">
    <w:abstractNumId w:val="3"/>
  </w:num>
  <w:num w:numId="26">
    <w:abstractNumId w:val="20"/>
  </w:num>
  <w:num w:numId="27">
    <w:abstractNumId w:val="48"/>
  </w:num>
  <w:num w:numId="28">
    <w:abstractNumId w:val="18"/>
  </w:num>
  <w:num w:numId="29">
    <w:abstractNumId w:val="59"/>
  </w:num>
  <w:num w:numId="30">
    <w:abstractNumId w:val="58"/>
  </w:num>
  <w:num w:numId="31">
    <w:abstractNumId w:val="28"/>
  </w:num>
  <w:num w:numId="32">
    <w:abstractNumId w:val="47"/>
  </w:num>
  <w:num w:numId="33">
    <w:abstractNumId w:val="13"/>
  </w:num>
  <w:num w:numId="34">
    <w:abstractNumId w:val="14"/>
  </w:num>
  <w:num w:numId="35">
    <w:abstractNumId w:val="49"/>
  </w:num>
  <w:num w:numId="36">
    <w:abstractNumId w:val="50"/>
  </w:num>
  <w:num w:numId="37">
    <w:abstractNumId w:val="60"/>
  </w:num>
  <w:num w:numId="38">
    <w:abstractNumId w:val="15"/>
  </w:num>
  <w:num w:numId="39">
    <w:abstractNumId w:val="24"/>
  </w:num>
  <w:num w:numId="40">
    <w:abstractNumId w:val="26"/>
  </w:num>
  <w:num w:numId="41">
    <w:abstractNumId w:val="32"/>
  </w:num>
  <w:num w:numId="42">
    <w:abstractNumId w:val="44"/>
  </w:num>
  <w:num w:numId="43">
    <w:abstractNumId w:val="35"/>
  </w:num>
  <w:num w:numId="44">
    <w:abstractNumId w:val="19"/>
  </w:num>
  <w:num w:numId="45">
    <w:abstractNumId w:val="25"/>
  </w:num>
  <w:num w:numId="46">
    <w:abstractNumId w:val="54"/>
  </w:num>
  <w:num w:numId="47">
    <w:abstractNumId w:val="11"/>
  </w:num>
  <w:num w:numId="48">
    <w:abstractNumId w:val="0"/>
  </w:num>
  <w:num w:numId="49">
    <w:abstractNumId w:val="4"/>
  </w:num>
  <w:num w:numId="50">
    <w:abstractNumId w:val="1"/>
  </w:num>
  <w:num w:numId="51">
    <w:abstractNumId w:val="10"/>
  </w:num>
  <w:num w:numId="52">
    <w:abstractNumId w:val="40"/>
  </w:num>
  <w:num w:numId="53">
    <w:abstractNumId w:val="7"/>
  </w:num>
  <w:num w:numId="54">
    <w:abstractNumId w:val="29"/>
  </w:num>
  <w:num w:numId="55">
    <w:abstractNumId w:val="46"/>
  </w:num>
  <w:num w:numId="56">
    <w:abstractNumId w:val="53"/>
  </w:num>
  <w:num w:numId="57">
    <w:abstractNumId w:val="33"/>
  </w:num>
  <w:num w:numId="58">
    <w:abstractNumId w:val="55"/>
  </w:num>
  <w:num w:numId="59">
    <w:abstractNumId w:val="23"/>
  </w:num>
  <w:num w:numId="60">
    <w:abstractNumId w:val="2"/>
  </w:num>
  <w:num w:numId="61">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D63"/>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EEB"/>
    <w:rsid w:val="00234EB6"/>
    <w:rsid w:val="00237BCB"/>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28D2"/>
    <w:rsid w:val="004D48F0"/>
    <w:rsid w:val="004D55BD"/>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343BF"/>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71BA8"/>
    <w:rsid w:val="00971E04"/>
    <w:rsid w:val="00973EBB"/>
    <w:rsid w:val="00974898"/>
    <w:rsid w:val="00975A60"/>
    <w:rsid w:val="009824EF"/>
    <w:rsid w:val="00984F42"/>
    <w:rsid w:val="00992371"/>
    <w:rsid w:val="00993246"/>
    <w:rsid w:val="009932F1"/>
    <w:rsid w:val="00993BB4"/>
    <w:rsid w:val="009959F1"/>
    <w:rsid w:val="0099760B"/>
    <w:rsid w:val="009A07C8"/>
    <w:rsid w:val="009A5162"/>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3F02"/>
    <w:rsid w:val="00AA107A"/>
    <w:rsid w:val="00AA3DC5"/>
    <w:rsid w:val="00AB0713"/>
    <w:rsid w:val="00AB5D2C"/>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7C11"/>
    <w:rsid w:val="00B2028B"/>
    <w:rsid w:val="00B22C58"/>
    <w:rsid w:val="00B303DE"/>
    <w:rsid w:val="00B30A0D"/>
    <w:rsid w:val="00B32722"/>
    <w:rsid w:val="00B32FE3"/>
    <w:rsid w:val="00B331EB"/>
    <w:rsid w:val="00B34B5B"/>
    <w:rsid w:val="00B3777F"/>
    <w:rsid w:val="00B40728"/>
    <w:rsid w:val="00B41FCE"/>
    <w:rsid w:val="00B4471F"/>
    <w:rsid w:val="00B54B57"/>
    <w:rsid w:val="00B569DB"/>
    <w:rsid w:val="00B63D2A"/>
    <w:rsid w:val="00B64D54"/>
    <w:rsid w:val="00B67E3C"/>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66E6F"/>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2616"/>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2387"/>
    <w:rsid w:val="00E15245"/>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74ED"/>
    <w:rsid w:val="00EE78B1"/>
    <w:rsid w:val="00EF0082"/>
    <w:rsid w:val="00EF39A3"/>
    <w:rsid w:val="00EF6CBD"/>
    <w:rsid w:val="00EF7F49"/>
    <w:rsid w:val="00F077D0"/>
    <w:rsid w:val="00F169BF"/>
    <w:rsid w:val="00F256CE"/>
    <w:rsid w:val="00F26F93"/>
    <w:rsid w:val="00F3324F"/>
    <w:rsid w:val="00F3751E"/>
    <w:rsid w:val="00F41D78"/>
    <w:rsid w:val="00F44E71"/>
    <w:rsid w:val="00F45AD6"/>
    <w:rsid w:val="00F464B3"/>
    <w:rsid w:val="00F52F14"/>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44941-AF21-46A4-96EB-23B08DC3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1429</Words>
  <Characters>7861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11</cp:revision>
  <cp:lastPrinted>2022-09-15T14:58:00Z</cp:lastPrinted>
  <dcterms:created xsi:type="dcterms:W3CDTF">2022-09-14T22:09:00Z</dcterms:created>
  <dcterms:modified xsi:type="dcterms:W3CDTF">2022-09-15T15:22:00Z</dcterms:modified>
</cp:coreProperties>
</file>